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F0" w:rsidRPr="006D0BE2" w:rsidRDefault="006D0BE2" w:rsidP="006D0BE2">
      <w:pPr>
        <w:jc w:val="center"/>
        <w:rPr>
          <w:b/>
          <w:sz w:val="28"/>
          <w:szCs w:val="28"/>
        </w:rPr>
      </w:pPr>
      <w:r w:rsidRPr="006D0BE2">
        <w:rPr>
          <w:b/>
          <w:sz w:val="28"/>
          <w:szCs w:val="28"/>
        </w:rPr>
        <w:t>Результаты анализа информации о качестве условий осуществления образовательной деятельности муниципального дошкольного образовательного учреждения детского сада №18 «Сказка»</w:t>
      </w:r>
    </w:p>
    <w:p w:rsidR="006D0BE2" w:rsidRDefault="006D0BE2"/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1607"/>
        <w:gridCol w:w="1466"/>
        <w:gridCol w:w="638"/>
        <w:gridCol w:w="638"/>
        <w:gridCol w:w="638"/>
        <w:gridCol w:w="638"/>
        <w:gridCol w:w="639"/>
        <w:gridCol w:w="639"/>
        <w:gridCol w:w="535"/>
        <w:gridCol w:w="639"/>
        <w:gridCol w:w="639"/>
        <w:gridCol w:w="639"/>
        <w:gridCol w:w="639"/>
        <w:gridCol w:w="687"/>
        <w:gridCol w:w="687"/>
        <w:gridCol w:w="687"/>
        <w:gridCol w:w="648"/>
        <w:gridCol w:w="645"/>
        <w:gridCol w:w="644"/>
      </w:tblGrid>
      <w:tr w:rsidR="006D0BE2" w:rsidRPr="006D0BE2" w:rsidTr="006D0BE2">
        <w:trPr>
          <w:jc w:val="center"/>
        </w:trPr>
        <w:tc>
          <w:tcPr>
            <w:tcW w:w="687" w:type="dxa"/>
            <w:vMerge w:val="restart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proofErr w:type="spellStart"/>
            <w:r w:rsidRPr="006D0BE2">
              <w:rPr>
                <w:rFonts w:ascii="Arial" w:hAnsi="Arial" w:cs="Times New Roman"/>
                <w:sz w:val="18"/>
                <w:szCs w:val="18"/>
              </w:rPr>
              <w:t>Муниципальный</w:t>
            </w:r>
            <w:proofErr w:type="spellEnd"/>
            <w:r w:rsidRPr="006D0BE2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6D0BE2">
              <w:rPr>
                <w:rFonts w:ascii="Arial" w:hAnsi="Arial" w:cs="Times New Roman"/>
                <w:sz w:val="18"/>
                <w:szCs w:val="18"/>
              </w:rPr>
              <w:t>район</w:t>
            </w:r>
            <w:proofErr w:type="spellEnd"/>
            <w:r w:rsidRPr="006D0BE2">
              <w:rPr>
                <w:rFonts w:ascii="Arial" w:hAnsi="Arial" w:cs="Times New Roman"/>
                <w:sz w:val="18"/>
                <w:szCs w:val="18"/>
              </w:rPr>
              <w:t>/</w:t>
            </w:r>
            <w:proofErr w:type="spellStart"/>
            <w:r w:rsidRPr="006D0BE2">
              <w:rPr>
                <w:rFonts w:ascii="Arial" w:hAnsi="Arial" w:cs="Times New Roman"/>
                <w:sz w:val="18"/>
                <w:szCs w:val="18"/>
              </w:rPr>
              <w:t>городской</w:t>
            </w:r>
            <w:proofErr w:type="spellEnd"/>
            <w:r w:rsidRPr="006D0BE2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6D0BE2">
              <w:rPr>
                <w:rFonts w:ascii="Arial" w:hAnsi="Arial" w:cs="Times New Roman"/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proofErr w:type="spellStart"/>
            <w:r w:rsidRPr="006D0BE2">
              <w:rPr>
                <w:rFonts w:ascii="Arial" w:hAnsi="Arial" w:cs="Times New Roman"/>
                <w:sz w:val="18"/>
                <w:szCs w:val="18"/>
              </w:rPr>
              <w:t>Наименование</w:t>
            </w:r>
            <w:proofErr w:type="spellEnd"/>
            <w:r w:rsidRPr="006D0BE2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6D0BE2">
              <w:rPr>
                <w:rFonts w:ascii="Arial" w:hAnsi="Arial" w:cs="Times New Roman"/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6D0BE2" w:rsidRPr="006D0BE2" w:rsidRDefault="006D0BE2" w:rsidP="006D0BE2">
            <w:pPr>
              <w:spacing w:after="200" w:line="276" w:lineRule="auto"/>
              <w:jc w:val="center"/>
              <w:rPr>
                <w:rFonts w:ascii="Arial" w:hAnsi="Arial" w:cs="Times New Roman"/>
                <w:sz w:val="18"/>
                <w:szCs w:val="18"/>
              </w:rPr>
            </w:pPr>
            <w:proofErr w:type="spellStart"/>
            <w:r w:rsidRPr="006D0BE2">
              <w:rPr>
                <w:rFonts w:ascii="Arial" w:hAnsi="Arial" w:cs="Times New Roman"/>
                <w:sz w:val="18"/>
                <w:szCs w:val="18"/>
              </w:rPr>
              <w:t>Крит</w:t>
            </w:r>
            <w:bookmarkStart w:id="0" w:name="_GoBack"/>
            <w:bookmarkEnd w:id="0"/>
            <w:r w:rsidRPr="006D0BE2">
              <w:rPr>
                <w:rFonts w:ascii="Arial" w:hAnsi="Arial" w:cs="Times New Roman"/>
                <w:sz w:val="18"/>
                <w:szCs w:val="18"/>
              </w:rPr>
              <w:t>ерии</w:t>
            </w:r>
            <w:proofErr w:type="spellEnd"/>
          </w:p>
        </w:tc>
      </w:tr>
      <w:tr w:rsidR="006D0BE2" w:rsidRPr="006D0BE2" w:rsidTr="0035504E">
        <w:trPr>
          <w:jc w:val="center"/>
        </w:trPr>
        <w:tc>
          <w:tcPr>
            <w:tcW w:w="687" w:type="dxa"/>
            <w:vMerge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6D0BE2">
              <w:rPr>
                <w:rFonts w:ascii="Arial" w:hAnsi="Arial" w:cs="Times New Roman"/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6D0BE2">
              <w:rPr>
                <w:rFonts w:ascii="Arial" w:hAnsi="Arial" w:cs="Times New Roman"/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6D0BE2">
              <w:rPr>
                <w:rFonts w:ascii="Arial" w:hAnsi="Arial" w:cs="Times New Roman"/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 xml:space="preserve">4-Доброжелательность, </w:t>
            </w:r>
            <w:proofErr w:type="spellStart"/>
            <w:r w:rsidRPr="006D0BE2">
              <w:rPr>
                <w:rFonts w:ascii="Arial" w:hAnsi="Arial" w:cs="Times New Roman"/>
                <w:sz w:val="18"/>
                <w:szCs w:val="18"/>
              </w:rPr>
              <w:t>вежливость</w:t>
            </w:r>
            <w:proofErr w:type="spellEnd"/>
            <w:r w:rsidRPr="006D0BE2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6D0BE2">
              <w:rPr>
                <w:rFonts w:ascii="Arial" w:hAnsi="Arial" w:cs="Times New Roman"/>
                <w:sz w:val="18"/>
                <w:szCs w:val="18"/>
              </w:rPr>
              <w:t>работников</w:t>
            </w:r>
            <w:proofErr w:type="spellEnd"/>
            <w:r w:rsidRPr="006D0BE2">
              <w:rPr>
                <w:rFonts w:ascii="Arial" w:hAnsi="Arial" w:cs="Times New Roman"/>
                <w:sz w:val="18"/>
                <w:szCs w:val="18"/>
              </w:rPr>
              <w:t xml:space="preserve"> </w:t>
            </w:r>
            <w:proofErr w:type="spellStart"/>
            <w:r w:rsidRPr="006D0BE2">
              <w:rPr>
                <w:rFonts w:ascii="Arial" w:hAnsi="Arial" w:cs="Times New Roman"/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  <w:lang w:val="ru-RU"/>
              </w:rPr>
            </w:pPr>
            <w:r w:rsidRPr="006D0BE2">
              <w:rPr>
                <w:rFonts w:ascii="Arial" w:hAnsi="Arial" w:cs="Times New Roman"/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6D0BE2" w:rsidRPr="006D0BE2" w:rsidTr="0035504E">
        <w:trPr>
          <w:jc w:val="center"/>
        </w:trPr>
        <w:tc>
          <w:tcPr>
            <w:tcW w:w="687" w:type="dxa"/>
            <w:vMerge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5.3</w:t>
            </w:r>
          </w:p>
        </w:tc>
      </w:tr>
      <w:tr w:rsidR="006D0BE2" w:rsidRPr="006D0BE2" w:rsidTr="0035504E">
        <w:trPr>
          <w:jc w:val="center"/>
        </w:trPr>
        <w:tc>
          <w:tcPr>
            <w:tcW w:w="687" w:type="dxa"/>
            <w:vMerge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5.3.1</w:t>
            </w:r>
          </w:p>
        </w:tc>
      </w:tr>
      <w:tr w:rsidR="006D0BE2" w:rsidRPr="006D0BE2" w:rsidTr="0035504E">
        <w:trPr>
          <w:jc w:val="center"/>
        </w:trPr>
        <w:tc>
          <w:tcPr>
            <w:tcW w:w="687" w:type="dxa"/>
            <w:vMerge w:val="restart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394</w:t>
            </w:r>
          </w:p>
        </w:tc>
        <w:tc>
          <w:tcPr>
            <w:tcW w:w="687" w:type="dxa"/>
            <w:vMerge w:val="restart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proofErr w:type="spellStart"/>
            <w:r w:rsidRPr="006D0BE2">
              <w:rPr>
                <w:rFonts w:ascii="Arial" w:hAnsi="Arial" w:cs="Times New Roman"/>
                <w:sz w:val="18"/>
                <w:szCs w:val="18"/>
              </w:rPr>
              <w:t>Угличский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 xml:space="preserve">МДОУ д/с №18 </w:t>
            </w:r>
            <w:proofErr w:type="spellStart"/>
            <w:r w:rsidRPr="006D0BE2">
              <w:rPr>
                <w:rFonts w:ascii="Arial" w:hAnsi="Arial" w:cs="Times New Roman"/>
                <w:sz w:val="18"/>
                <w:szCs w:val="18"/>
              </w:rPr>
              <w:t>Сказка</w:t>
            </w:r>
            <w:proofErr w:type="spellEnd"/>
          </w:p>
        </w:tc>
        <w:tc>
          <w:tcPr>
            <w:tcW w:w="1374" w:type="dxa"/>
            <w:gridSpan w:val="2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85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65.2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89.4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64.3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95.7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95.2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88.9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91.3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94.7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95.2</w:t>
            </w:r>
          </w:p>
        </w:tc>
      </w:tr>
      <w:tr w:rsidR="006D0BE2" w:rsidRPr="006D0BE2" w:rsidTr="0035504E">
        <w:trPr>
          <w:jc w:val="center"/>
        </w:trPr>
        <w:tc>
          <w:tcPr>
            <w:tcW w:w="687" w:type="dxa"/>
            <w:vMerge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82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88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78.3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52.2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89.4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64.3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95.7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95.2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88.9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91.3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94.7</w:t>
            </w:r>
          </w:p>
        </w:tc>
        <w:tc>
          <w:tcPr>
            <w:tcW w:w="687" w:type="dxa"/>
            <w:vAlign w:val="center"/>
          </w:tcPr>
          <w:p w:rsidR="006D0BE2" w:rsidRPr="006D0BE2" w:rsidRDefault="006D0BE2" w:rsidP="006D0BE2">
            <w:pPr>
              <w:spacing w:after="200" w:line="276" w:lineRule="auto"/>
              <w:rPr>
                <w:rFonts w:ascii="Arial" w:hAnsi="Arial" w:cs="Times New Roman"/>
                <w:sz w:val="18"/>
                <w:szCs w:val="18"/>
              </w:rPr>
            </w:pPr>
            <w:r w:rsidRPr="006D0BE2">
              <w:rPr>
                <w:rFonts w:ascii="Arial" w:hAnsi="Arial" w:cs="Times New Roman"/>
                <w:sz w:val="18"/>
                <w:szCs w:val="18"/>
              </w:rPr>
              <w:t>95.2</w:t>
            </w:r>
          </w:p>
        </w:tc>
      </w:tr>
    </w:tbl>
    <w:p w:rsidR="006D0BE2" w:rsidRDefault="006D0BE2"/>
    <w:p w:rsidR="006D0BE2" w:rsidRDefault="006D0BE2" w:rsidP="006D0BE2">
      <w:pPr>
        <w:ind w:firstLine="567"/>
        <w:jc w:val="both"/>
      </w:pPr>
      <w:r>
        <w:t xml:space="preserve">Основные недостатки: Низкий уровень открытости и доступности информации об организации, осуществляющей образовательную деятельность.     Качество содержания официального сайта организации ниже среднего уровня.  Низкий уровень доступности образовательной деятельности для инвалидов.   </w:t>
      </w:r>
    </w:p>
    <w:p w:rsidR="006D0BE2" w:rsidRDefault="006D0BE2" w:rsidP="006D0BE2">
      <w:pPr>
        <w:ind w:firstLine="567"/>
        <w:jc w:val="both"/>
      </w:pPr>
      <w:r>
        <w:t xml:space="preserve">Выводы: Ниже среднего уровня открытость и доступность информации об организации, осуществляющей образовательную деятельность; удовлетворенность содержанием материалов официального сайта организации; доступность образовательной деятельности для инвалидов. </w:t>
      </w:r>
    </w:p>
    <w:p w:rsidR="006D0BE2" w:rsidRDefault="006D0BE2" w:rsidP="006D0BE2">
      <w:pPr>
        <w:ind w:firstLine="567"/>
        <w:jc w:val="both"/>
      </w:pPr>
      <w:r>
        <w:t>Предложения: Дополнять и совершенствовать информацию о деятельности организации, размещённую на общедоступных информационных ресурсах (информационные стенды в помещении организации и официальные сайты в сети Интернет), её содержание и порядок (форму) размещения.     Повысить качество информации, размещенной на официальном сайте организации.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</w:t>
      </w:r>
    </w:p>
    <w:sectPr w:rsidR="006D0BE2" w:rsidSect="006D0BE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15"/>
    <w:rsid w:val="005A53F0"/>
    <w:rsid w:val="006D0BE2"/>
    <w:rsid w:val="00F6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070F0-5229-4AED-B0F4-D4573A6C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0BE2"/>
    <w:pPr>
      <w:spacing w:after="0" w:line="240" w:lineRule="auto"/>
    </w:pPr>
    <w:rPr>
      <w:rFonts w:ascii="Times New Roman" w:eastAsia="Times New Roman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D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2020-01-22T05:58:00Z</dcterms:created>
  <dcterms:modified xsi:type="dcterms:W3CDTF">2020-01-22T06:01:00Z</dcterms:modified>
</cp:coreProperties>
</file>